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8A0C7" w14:textId="58A2C890" w:rsidR="009A6B28" w:rsidRDefault="00000000" w:rsidP="008E3D96">
      <w:pPr>
        <w:spacing w:after="60"/>
        <w:ind w:right="2953"/>
        <w:rPr>
          <w:color w:val="0070C0"/>
        </w:rPr>
      </w:pPr>
      <w:r>
        <w:rPr>
          <w:b/>
          <w:bCs/>
          <w:noProof/>
          <w:color w:val="0070C0"/>
          <w:sz w:val="144"/>
          <w:szCs w:val="144"/>
        </w:rPr>
        <w:drawing>
          <wp:anchor distT="0" distB="0" distL="114300" distR="114300" simplePos="0" relativeHeight="251659264" behindDoc="0" locked="0" layoutInCell="1" allowOverlap="1" wp14:anchorId="495D253A" wp14:editId="2E56B45C">
            <wp:simplePos x="0" y="0"/>
            <wp:positionH relativeFrom="margin">
              <wp:posOffset>4949825</wp:posOffset>
            </wp:positionH>
            <wp:positionV relativeFrom="margin">
              <wp:posOffset>70647</wp:posOffset>
            </wp:positionV>
            <wp:extent cx="1695450" cy="400050"/>
            <wp:effectExtent l="0" t="0" r="0" b="0"/>
            <wp:wrapNone/>
            <wp:docPr id="969038558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9038558" name=""/>
                    <pic:cNvPicPr/>
                  </pic:nvPicPr>
                  <pic:blipFill>
                    <a:blip r:embed="rId7">
                      <a:extLs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17CEF">
        <w:rPr>
          <w:b/>
          <w:bCs/>
          <w:color w:val="0070C0"/>
          <w:sz w:val="36"/>
          <w:szCs w:val="36"/>
        </w:rPr>
        <w:t>Homework</w:t>
      </w:r>
      <w:r w:rsidR="00511C87">
        <w:rPr>
          <w:b/>
          <w:bCs/>
          <w:color w:val="0070C0"/>
          <w:sz w:val="36"/>
          <w:szCs w:val="36"/>
        </w:rPr>
        <w:t xml:space="preserve"> </w:t>
      </w:r>
      <w:r w:rsidR="00F47CE0">
        <w:rPr>
          <w:b/>
          <w:bCs/>
          <w:color w:val="0070C0"/>
          <w:sz w:val="36"/>
          <w:szCs w:val="36"/>
        </w:rPr>
        <w:t>1</w:t>
      </w:r>
      <w:r>
        <w:rPr>
          <w:b/>
          <w:bCs/>
          <w:color w:val="0070C0"/>
          <w:sz w:val="36"/>
          <w:szCs w:val="36"/>
        </w:rPr>
        <w:t>: Introduction to Computational Thinking</w:t>
      </w:r>
    </w:p>
    <w:p w14:paraId="706CCAA1" w14:textId="77777777" w:rsidR="009A6B28" w:rsidRDefault="00000000">
      <w:pPr>
        <w:spacing w:before="40" w:after="200"/>
        <w:rPr>
          <w:b/>
          <w:bCs/>
        </w:rPr>
      </w:pPr>
      <w:r>
        <w:rPr>
          <w:b/>
          <w:bCs/>
          <w:noProof/>
          <w:color w:val="0070C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A12F657" wp14:editId="59968BCD">
                <wp:simplePos x="0" y="0"/>
                <wp:positionH relativeFrom="column">
                  <wp:posOffset>9525</wp:posOffset>
                </wp:positionH>
                <wp:positionV relativeFrom="paragraph">
                  <wp:posOffset>13335</wp:posOffset>
                </wp:positionV>
                <wp:extent cx="3257550" cy="257175"/>
                <wp:effectExtent l="0" t="0" r="0" b="9525"/>
                <wp:wrapNone/>
                <wp:docPr id="170607868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7550" cy="257175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32FB2A" w14:textId="77777777" w:rsidR="009A6B28" w:rsidRPr="00DA6C8F" w:rsidRDefault="0000000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Content Area 1: Problem Solving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</mc:AlternateContent>
      </w:r>
    </w:p>
    <w:tbl>
      <w:tblPr>
        <w:tblW w:w="10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460"/>
      </w:tblGrid>
      <w:tr w:rsidR="009A6B28" w14:paraId="47D3A7E8" w14:textId="77777777">
        <w:trPr>
          <w:cantSplit/>
        </w:trPr>
        <w:tc>
          <w:tcPr>
            <w:tcW w:w="10460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0070C0"/>
            <w:tcMar>
              <w:top w:w="70" w:type="dxa"/>
              <w:left w:w="130" w:type="dxa"/>
              <w:bottom w:w="70" w:type="dxa"/>
              <w:right w:w="130" w:type="dxa"/>
            </w:tcMar>
          </w:tcPr>
          <w:p w14:paraId="18A6889D" w14:textId="77777777" w:rsidR="009A6B28" w:rsidRDefault="00000000">
            <w:r>
              <w:rPr>
                <w:b/>
                <w:bCs/>
                <w:color w:val="FFFFFF"/>
                <w:sz w:val="24"/>
                <w:szCs w:val="24"/>
              </w:rPr>
              <w:t>Question 1 (10 marks)</w:t>
            </w:r>
          </w:p>
        </w:tc>
      </w:tr>
    </w:tbl>
    <w:p w14:paraId="1DDD43F4" w14:textId="77777777" w:rsidR="009A6B28" w:rsidRDefault="00000000">
      <w:pPr>
        <w:spacing w:before="120" w:after="120"/>
      </w:pPr>
      <w:r>
        <w:rPr>
          <w:i/>
          <w:iCs/>
        </w:rPr>
        <w:t>A college wants an app so students can report IT faults and track repairs. The team uses computational thinking to plan it before writing any code.</w:t>
      </w:r>
    </w:p>
    <w:tbl>
      <w:tblPr>
        <w:tblW w:w="10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60"/>
        <w:gridCol w:w="1700"/>
      </w:tblGrid>
      <w:tr w:rsidR="009A6B28" w14:paraId="219B4338" w14:textId="77777777">
        <w:trPr>
          <w:cantSplit/>
        </w:trPr>
        <w:tc>
          <w:tcPr>
            <w:tcW w:w="876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DAE9F7"/>
            <w:tcMar>
              <w:top w:w="70" w:type="dxa"/>
              <w:left w:w="130" w:type="dxa"/>
              <w:bottom w:w="70" w:type="dxa"/>
              <w:right w:w="130" w:type="dxa"/>
            </w:tcMar>
            <w:vAlign w:val="center"/>
          </w:tcPr>
          <w:p w14:paraId="4C84A4DB" w14:textId="77777777" w:rsidR="009A6B28" w:rsidRDefault="00000000">
            <w:r>
              <w:rPr>
                <w:b/>
                <w:bCs/>
              </w:rPr>
              <w:t>1(a) Name two components of computational thinking and, for each, give one way it could help plan the fault-reporting app.</w:t>
            </w:r>
          </w:p>
        </w:tc>
        <w:tc>
          <w:tcPr>
            <w:tcW w:w="17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DAE9F7"/>
            <w:tcMar>
              <w:top w:w="70" w:type="dxa"/>
              <w:left w:w="130" w:type="dxa"/>
              <w:bottom w:w="70" w:type="dxa"/>
              <w:right w:w="130" w:type="dxa"/>
            </w:tcMar>
            <w:vAlign w:val="center"/>
          </w:tcPr>
          <w:p w14:paraId="17B54EC3" w14:textId="77777777" w:rsidR="009A6B28" w:rsidRDefault="00000000">
            <w:pPr>
              <w:jc w:val="center"/>
            </w:pPr>
            <w:r>
              <w:rPr>
                <w:b/>
                <w:bCs/>
              </w:rPr>
              <w:t>[4]</w:t>
            </w:r>
          </w:p>
        </w:tc>
      </w:tr>
      <w:tr w:rsidR="009A6B28" w14:paraId="136D622A" w14:textId="77777777">
        <w:trPr>
          <w:cantSplit/>
        </w:trPr>
        <w:tc>
          <w:tcPr>
            <w:tcW w:w="10460" w:type="dxa"/>
            <w:gridSpan w:val="2"/>
            <w:tcBorders>
              <w:top w:val="single" w:sz="4" w:space="0" w:color="888888"/>
              <w:left w:val="single" w:sz="18" w:space="0" w:color="0070C0"/>
              <w:bottom w:val="single" w:sz="4" w:space="0" w:color="888888"/>
              <w:right w:val="single" w:sz="4" w:space="0" w:color="888888"/>
            </w:tcBorders>
            <w:shd w:val="clear" w:color="auto" w:fill="F2F5F9"/>
            <w:tcMar>
              <w:top w:w="70" w:type="dxa"/>
              <w:left w:w="130" w:type="dxa"/>
              <w:bottom w:w="70" w:type="dxa"/>
              <w:right w:w="130" w:type="dxa"/>
            </w:tcMar>
            <w:vAlign w:val="center"/>
          </w:tcPr>
          <w:p w14:paraId="5C6E6D8B" w14:textId="77777777" w:rsidR="009A6B28" w:rsidRDefault="00000000">
            <w:r>
              <w:rPr>
                <w:b/>
                <w:bCs/>
                <w:i/>
                <w:iCs/>
                <w:color w:val="2E5A86"/>
                <w:sz w:val="20"/>
                <w:szCs w:val="20"/>
              </w:rPr>
              <w:t xml:space="preserve">Marking: </w:t>
            </w:r>
            <w:r>
              <w:rPr>
                <w:i/>
                <w:iCs/>
                <w:color w:val="2E5A86"/>
              </w:rPr>
              <w:t>1 mark for naming each valid component (max 2) and 1 mark for each relevant way it helps (max 2). Maximum 4.</w:t>
            </w:r>
          </w:p>
        </w:tc>
      </w:tr>
      <w:tr w:rsidR="009A6B28" w14:paraId="07A4F8E0" w14:textId="77777777">
        <w:trPr>
          <w:cantSplit/>
        </w:trPr>
        <w:tc>
          <w:tcPr>
            <w:tcW w:w="876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70" w:type="dxa"/>
              <w:left w:w="130" w:type="dxa"/>
              <w:bottom w:w="70" w:type="dxa"/>
              <w:right w:w="130" w:type="dxa"/>
            </w:tcMar>
            <w:vAlign w:val="center"/>
          </w:tcPr>
          <w:p w14:paraId="665B919D" w14:textId="77777777" w:rsidR="009A6B28" w:rsidRDefault="00000000">
            <w:r>
              <w:t>Decomposition: break the app into parts — reporting a fault, storing it, tracking its status, notifying the student.</w:t>
            </w:r>
          </w:p>
        </w:tc>
        <w:tc>
          <w:tcPr>
            <w:tcW w:w="17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70" w:type="dxa"/>
              <w:left w:w="130" w:type="dxa"/>
              <w:bottom w:w="70" w:type="dxa"/>
              <w:right w:w="130" w:type="dxa"/>
            </w:tcMar>
            <w:vAlign w:val="center"/>
          </w:tcPr>
          <w:p w14:paraId="61EE2241" w14:textId="77777777" w:rsidR="009A6B28" w:rsidRDefault="00000000">
            <w:pPr>
              <w:jc w:val="center"/>
            </w:pPr>
            <w:r>
              <w:rPr>
                <w:b/>
                <w:bCs/>
              </w:rPr>
              <w:t>(2)</w:t>
            </w:r>
          </w:p>
        </w:tc>
      </w:tr>
      <w:tr w:rsidR="009A6B28" w14:paraId="122796F1" w14:textId="77777777">
        <w:trPr>
          <w:cantSplit/>
        </w:trPr>
        <w:tc>
          <w:tcPr>
            <w:tcW w:w="876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70" w:type="dxa"/>
              <w:left w:w="130" w:type="dxa"/>
              <w:bottom w:w="70" w:type="dxa"/>
              <w:right w:w="130" w:type="dxa"/>
            </w:tcMar>
            <w:vAlign w:val="center"/>
          </w:tcPr>
          <w:p w14:paraId="5EEC5402" w14:textId="77777777" w:rsidR="009A6B28" w:rsidRDefault="00000000">
            <w:r>
              <w:t>Pattern recognition: spot that many faults are of the same few types and handle each type the same way.</w:t>
            </w:r>
          </w:p>
        </w:tc>
        <w:tc>
          <w:tcPr>
            <w:tcW w:w="17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70" w:type="dxa"/>
              <w:left w:w="130" w:type="dxa"/>
              <w:bottom w:w="70" w:type="dxa"/>
              <w:right w:w="130" w:type="dxa"/>
            </w:tcMar>
            <w:vAlign w:val="center"/>
          </w:tcPr>
          <w:p w14:paraId="2B5FB821" w14:textId="77777777" w:rsidR="009A6B28" w:rsidRDefault="00000000">
            <w:pPr>
              <w:jc w:val="center"/>
            </w:pPr>
            <w:r>
              <w:rPr>
                <w:b/>
                <w:bCs/>
              </w:rPr>
              <w:t>(2)</w:t>
            </w:r>
          </w:p>
        </w:tc>
      </w:tr>
      <w:tr w:rsidR="009A6B28" w14:paraId="51C15C5D" w14:textId="77777777">
        <w:trPr>
          <w:cantSplit/>
        </w:trPr>
        <w:tc>
          <w:tcPr>
            <w:tcW w:w="10460" w:type="dxa"/>
            <w:gridSpan w:val="2"/>
            <w:tcBorders>
              <w:top w:val="single" w:sz="4" w:space="0" w:color="888888"/>
              <w:left w:val="single" w:sz="18" w:space="0" w:color="C8960C"/>
              <w:bottom w:val="single" w:sz="4" w:space="0" w:color="888888"/>
              <w:right w:val="single" w:sz="4" w:space="0" w:color="888888"/>
            </w:tcBorders>
            <w:shd w:val="clear" w:color="auto" w:fill="FFF8E1"/>
            <w:tcMar>
              <w:top w:w="70" w:type="dxa"/>
              <w:left w:w="130" w:type="dxa"/>
              <w:bottom w:w="70" w:type="dxa"/>
              <w:right w:w="130" w:type="dxa"/>
            </w:tcMar>
          </w:tcPr>
          <w:p w14:paraId="13D663EF" w14:textId="77777777" w:rsidR="009A6B28" w:rsidRDefault="00000000">
            <w:pPr>
              <w:spacing w:after="30"/>
            </w:pPr>
            <w:r>
              <w:rPr>
                <w:b/>
                <w:bCs/>
                <w:i/>
                <w:iCs/>
                <w:color w:val="7A5C00"/>
              </w:rPr>
              <w:t>Accept also:</w:t>
            </w:r>
          </w:p>
          <w:p w14:paraId="22C48D23" w14:textId="77777777" w:rsidR="009A6B28" w:rsidRDefault="00000000">
            <w:pPr>
              <w:pStyle w:val="ListParagraph"/>
              <w:numPr>
                <w:ilvl w:val="0"/>
                <w:numId w:val="2"/>
              </w:numPr>
              <w:spacing w:after="20"/>
            </w:pPr>
            <w:r>
              <w:rPr>
                <w:i/>
                <w:iCs/>
                <w:color w:val="7A5C00"/>
              </w:rPr>
              <w:t>Abstraction: model a fault by only the details that matter (type, location, urgency).</w:t>
            </w:r>
          </w:p>
          <w:p w14:paraId="69672BDD" w14:textId="77777777" w:rsidR="009A6B28" w:rsidRDefault="00000000">
            <w:pPr>
              <w:pStyle w:val="ListParagraph"/>
              <w:numPr>
                <w:ilvl w:val="0"/>
                <w:numId w:val="2"/>
              </w:numPr>
              <w:spacing w:after="20"/>
            </w:pPr>
            <w:r>
              <w:rPr>
                <w:i/>
                <w:iCs/>
                <w:color w:val="7A5C00"/>
              </w:rPr>
              <w:t>Algorithmic design: set the ordered steps to log, route and close a fault.</w:t>
            </w:r>
          </w:p>
          <w:p w14:paraId="360AA74F" w14:textId="77777777" w:rsidR="009A6B28" w:rsidRDefault="00000000">
            <w:pPr>
              <w:pStyle w:val="ListParagraph"/>
              <w:numPr>
                <w:ilvl w:val="0"/>
                <w:numId w:val="2"/>
              </w:numPr>
              <w:spacing w:after="20"/>
            </w:pPr>
            <w:r>
              <w:rPr>
                <w:i/>
                <w:iCs/>
                <w:color w:val="7A5C00"/>
              </w:rPr>
              <w:t>Any two of the four components, each with a sensible link to the app.</w:t>
            </w:r>
          </w:p>
        </w:tc>
      </w:tr>
      <w:tr w:rsidR="009A6B28" w14:paraId="1A2DE86C" w14:textId="77777777">
        <w:trPr>
          <w:cantSplit/>
        </w:trPr>
        <w:tc>
          <w:tcPr>
            <w:tcW w:w="10460" w:type="dxa"/>
            <w:gridSpan w:val="2"/>
            <w:tcBorders>
              <w:top w:val="single" w:sz="4" w:space="0" w:color="888888"/>
              <w:left w:val="single" w:sz="18" w:space="0" w:color="B23A3A"/>
              <w:bottom w:val="single" w:sz="4" w:space="0" w:color="888888"/>
              <w:right w:val="single" w:sz="4" w:space="0" w:color="888888"/>
            </w:tcBorders>
            <w:shd w:val="clear" w:color="auto" w:fill="FBEFEF"/>
            <w:tcMar>
              <w:top w:w="70" w:type="dxa"/>
              <w:left w:w="130" w:type="dxa"/>
              <w:bottom w:w="70" w:type="dxa"/>
              <w:right w:w="130" w:type="dxa"/>
            </w:tcMar>
          </w:tcPr>
          <w:p w14:paraId="02012D63" w14:textId="77777777" w:rsidR="009A6B28" w:rsidRDefault="00000000">
            <w:pPr>
              <w:spacing w:after="30"/>
            </w:pPr>
            <w:r>
              <w:rPr>
                <w:b/>
                <w:bCs/>
                <w:i/>
                <w:iCs/>
                <w:color w:val="7A1F1F"/>
              </w:rPr>
              <w:t>Do not credit:</w:t>
            </w:r>
          </w:p>
          <w:p w14:paraId="0236DB07" w14:textId="77777777" w:rsidR="009A6B28" w:rsidRDefault="00000000">
            <w:pPr>
              <w:pStyle w:val="ListParagraph"/>
              <w:numPr>
                <w:ilvl w:val="0"/>
                <w:numId w:val="2"/>
              </w:numPr>
              <w:spacing w:after="20"/>
            </w:pPr>
            <w:r>
              <w:rPr>
                <w:i/>
                <w:iCs/>
                <w:color w:val="7A1F1F"/>
              </w:rPr>
              <w:t>Naming a component with no link to the app.</w:t>
            </w:r>
          </w:p>
          <w:p w14:paraId="0D7D4788" w14:textId="77777777" w:rsidR="009A6B28" w:rsidRDefault="00000000">
            <w:pPr>
              <w:pStyle w:val="ListParagraph"/>
              <w:numPr>
                <w:ilvl w:val="0"/>
                <w:numId w:val="2"/>
              </w:numPr>
              <w:spacing w:after="20"/>
            </w:pPr>
            <w:r>
              <w:rPr>
                <w:i/>
                <w:iCs/>
                <w:color w:val="7A1F1F"/>
              </w:rPr>
              <w:t>“Writing the code” treated as a component.</w:t>
            </w:r>
          </w:p>
        </w:tc>
      </w:tr>
    </w:tbl>
    <w:p w14:paraId="6E3A360A" w14:textId="77777777" w:rsidR="009A6B28" w:rsidRDefault="009A6B28"/>
    <w:tbl>
      <w:tblPr>
        <w:tblW w:w="10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60"/>
        <w:gridCol w:w="1700"/>
      </w:tblGrid>
      <w:tr w:rsidR="009A6B28" w14:paraId="3D88CBBA" w14:textId="77777777">
        <w:trPr>
          <w:cantSplit/>
        </w:trPr>
        <w:tc>
          <w:tcPr>
            <w:tcW w:w="876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DAE9F7"/>
            <w:tcMar>
              <w:top w:w="70" w:type="dxa"/>
              <w:left w:w="130" w:type="dxa"/>
              <w:bottom w:w="70" w:type="dxa"/>
              <w:right w:w="130" w:type="dxa"/>
            </w:tcMar>
            <w:vAlign w:val="center"/>
          </w:tcPr>
          <w:p w14:paraId="4A381E3A" w14:textId="77777777" w:rsidR="009A6B28" w:rsidRDefault="00000000">
            <w:r>
              <w:rPr>
                <w:b/>
                <w:bCs/>
              </w:rPr>
              <w:t>1(b) Explain what is meant by decomposition.</w:t>
            </w:r>
          </w:p>
        </w:tc>
        <w:tc>
          <w:tcPr>
            <w:tcW w:w="17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DAE9F7"/>
            <w:tcMar>
              <w:top w:w="70" w:type="dxa"/>
              <w:left w:w="130" w:type="dxa"/>
              <w:bottom w:w="70" w:type="dxa"/>
              <w:right w:w="130" w:type="dxa"/>
            </w:tcMar>
            <w:vAlign w:val="center"/>
          </w:tcPr>
          <w:p w14:paraId="65EC83CA" w14:textId="77777777" w:rsidR="009A6B28" w:rsidRDefault="00000000">
            <w:pPr>
              <w:jc w:val="center"/>
            </w:pPr>
            <w:r>
              <w:rPr>
                <w:b/>
                <w:bCs/>
              </w:rPr>
              <w:t>[2]</w:t>
            </w:r>
          </w:p>
        </w:tc>
      </w:tr>
      <w:tr w:rsidR="009A6B28" w14:paraId="472B6B3F" w14:textId="77777777">
        <w:trPr>
          <w:cantSplit/>
        </w:trPr>
        <w:tc>
          <w:tcPr>
            <w:tcW w:w="10460" w:type="dxa"/>
            <w:gridSpan w:val="2"/>
            <w:tcBorders>
              <w:top w:val="single" w:sz="4" w:space="0" w:color="888888"/>
              <w:left w:val="single" w:sz="18" w:space="0" w:color="0070C0"/>
              <w:bottom w:val="single" w:sz="4" w:space="0" w:color="888888"/>
              <w:right w:val="single" w:sz="4" w:space="0" w:color="888888"/>
            </w:tcBorders>
            <w:shd w:val="clear" w:color="auto" w:fill="F2F5F9"/>
            <w:tcMar>
              <w:top w:w="70" w:type="dxa"/>
              <w:left w:w="130" w:type="dxa"/>
              <w:bottom w:w="70" w:type="dxa"/>
              <w:right w:w="130" w:type="dxa"/>
            </w:tcMar>
            <w:vAlign w:val="center"/>
          </w:tcPr>
          <w:p w14:paraId="43FC7543" w14:textId="77777777" w:rsidR="009A6B28" w:rsidRDefault="00000000">
            <w:r>
              <w:rPr>
                <w:b/>
                <w:bCs/>
                <w:i/>
                <w:iCs/>
                <w:color w:val="2E5A86"/>
                <w:sz w:val="20"/>
                <w:szCs w:val="20"/>
              </w:rPr>
              <w:t xml:space="preserve">Marking: </w:t>
            </w:r>
            <w:r>
              <w:rPr>
                <w:i/>
                <w:iCs/>
                <w:color w:val="2E5A86"/>
              </w:rPr>
              <w:t>1 mark for the idea of breaking down; 1 mark for into smaller / manageable parts.</w:t>
            </w:r>
          </w:p>
        </w:tc>
      </w:tr>
      <w:tr w:rsidR="009A6B28" w14:paraId="392185EC" w14:textId="77777777">
        <w:trPr>
          <w:cantSplit/>
        </w:trPr>
        <w:tc>
          <w:tcPr>
            <w:tcW w:w="876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70" w:type="dxa"/>
              <w:left w:w="130" w:type="dxa"/>
              <w:bottom w:w="70" w:type="dxa"/>
              <w:right w:w="130" w:type="dxa"/>
            </w:tcMar>
            <w:vAlign w:val="center"/>
          </w:tcPr>
          <w:p w14:paraId="67BE3CE8" w14:textId="77777777" w:rsidR="009A6B28" w:rsidRDefault="00000000">
            <w:r>
              <w:t>Breaking a problem into smaller, more manageable parts…</w:t>
            </w:r>
          </w:p>
        </w:tc>
        <w:tc>
          <w:tcPr>
            <w:tcW w:w="17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70" w:type="dxa"/>
              <w:left w:w="130" w:type="dxa"/>
              <w:bottom w:w="70" w:type="dxa"/>
              <w:right w:w="130" w:type="dxa"/>
            </w:tcMar>
            <w:vAlign w:val="center"/>
          </w:tcPr>
          <w:p w14:paraId="08337523" w14:textId="77777777" w:rsidR="009A6B28" w:rsidRDefault="00000000">
            <w:pPr>
              <w:jc w:val="center"/>
            </w:pPr>
            <w:r>
              <w:rPr>
                <w:b/>
                <w:bCs/>
              </w:rPr>
              <w:t>(1)</w:t>
            </w:r>
          </w:p>
        </w:tc>
      </w:tr>
      <w:tr w:rsidR="009A6B28" w14:paraId="0BBC1641" w14:textId="77777777">
        <w:trPr>
          <w:cantSplit/>
        </w:trPr>
        <w:tc>
          <w:tcPr>
            <w:tcW w:w="876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70" w:type="dxa"/>
              <w:left w:w="130" w:type="dxa"/>
              <w:bottom w:w="70" w:type="dxa"/>
              <w:right w:w="130" w:type="dxa"/>
            </w:tcMar>
            <w:vAlign w:val="center"/>
          </w:tcPr>
          <w:p w14:paraId="561B9024" w14:textId="77777777" w:rsidR="009A6B28" w:rsidRDefault="00000000">
            <w:r>
              <w:t>…so that each part can be understood and solved on its own.</w:t>
            </w:r>
          </w:p>
        </w:tc>
        <w:tc>
          <w:tcPr>
            <w:tcW w:w="17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70" w:type="dxa"/>
              <w:left w:w="130" w:type="dxa"/>
              <w:bottom w:w="70" w:type="dxa"/>
              <w:right w:w="130" w:type="dxa"/>
            </w:tcMar>
            <w:vAlign w:val="center"/>
          </w:tcPr>
          <w:p w14:paraId="7A759402" w14:textId="77777777" w:rsidR="009A6B28" w:rsidRDefault="00000000">
            <w:pPr>
              <w:jc w:val="center"/>
            </w:pPr>
            <w:r>
              <w:rPr>
                <w:b/>
                <w:bCs/>
              </w:rPr>
              <w:t>(1)</w:t>
            </w:r>
          </w:p>
        </w:tc>
      </w:tr>
      <w:tr w:rsidR="009A6B28" w14:paraId="60F4926D" w14:textId="77777777">
        <w:trPr>
          <w:cantSplit/>
        </w:trPr>
        <w:tc>
          <w:tcPr>
            <w:tcW w:w="10460" w:type="dxa"/>
            <w:gridSpan w:val="2"/>
            <w:tcBorders>
              <w:top w:val="single" w:sz="4" w:space="0" w:color="888888"/>
              <w:left w:val="single" w:sz="18" w:space="0" w:color="C8960C"/>
              <w:bottom w:val="single" w:sz="4" w:space="0" w:color="888888"/>
              <w:right w:val="single" w:sz="4" w:space="0" w:color="888888"/>
            </w:tcBorders>
            <w:shd w:val="clear" w:color="auto" w:fill="FFF8E1"/>
            <w:tcMar>
              <w:top w:w="70" w:type="dxa"/>
              <w:left w:w="130" w:type="dxa"/>
              <w:bottom w:w="70" w:type="dxa"/>
              <w:right w:w="130" w:type="dxa"/>
            </w:tcMar>
          </w:tcPr>
          <w:p w14:paraId="49AE631A" w14:textId="77777777" w:rsidR="009A6B28" w:rsidRDefault="00000000">
            <w:pPr>
              <w:spacing w:after="30"/>
            </w:pPr>
            <w:r>
              <w:rPr>
                <w:b/>
                <w:bCs/>
                <w:i/>
                <w:iCs/>
                <w:color w:val="7A5C00"/>
              </w:rPr>
              <w:t>Accept also:</w:t>
            </w:r>
          </w:p>
          <w:p w14:paraId="421CABB8" w14:textId="77777777" w:rsidR="009A6B28" w:rsidRDefault="00000000">
            <w:pPr>
              <w:pStyle w:val="ListParagraph"/>
              <w:numPr>
                <w:ilvl w:val="0"/>
                <w:numId w:val="2"/>
              </w:numPr>
              <w:spacing w:after="20"/>
            </w:pPr>
            <w:r>
              <w:rPr>
                <w:i/>
                <w:iCs/>
                <w:color w:val="7A5C00"/>
              </w:rPr>
              <w:t>Dividing a large problem into sub-problems or steps.</w:t>
            </w:r>
          </w:p>
        </w:tc>
      </w:tr>
      <w:tr w:rsidR="009A6B28" w14:paraId="4625E044" w14:textId="77777777">
        <w:trPr>
          <w:cantSplit/>
        </w:trPr>
        <w:tc>
          <w:tcPr>
            <w:tcW w:w="10460" w:type="dxa"/>
            <w:gridSpan w:val="2"/>
            <w:tcBorders>
              <w:top w:val="single" w:sz="4" w:space="0" w:color="888888"/>
              <w:left w:val="single" w:sz="18" w:space="0" w:color="B23A3A"/>
              <w:bottom w:val="single" w:sz="4" w:space="0" w:color="888888"/>
              <w:right w:val="single" w:sz="4" w:space="0" w:color="888888"/>
            </w:tcBorders>
            <w:shd w:val="clear" w:color="auto" w:fill="FBEFEF"/>
            <w:tcMar>
              <w:top w:w="70" w:type="dxa"/>
              <w:left w:w="130" w:type="dxa"/>
              <w:bottom w:w="70" w:type="dxa"/>
              <w:right w:w="130" w:type="dxa"/>
            </w:tcMar>
          </w:tcPr>
          <w:p w14:paraId="21A23E9C" w14:textId="77777777" w:rsidR="009A6B28" w:rsidRDefault="00000000">
            <w:pPr>
              <w:spacing w:after="30"/>
            </w:pPr>
            <w:r>
              <w:rPr>
                <w:b/>
                <w:bCs/>
                <w:i/>
                <w:iCs/>
                <w:color w:val="7A1F1F"/>
              </w:rPr>
              <w:t>Do not credit:</w:t>
            </w:r>
          </w:p>
          <w:p w14:paraId="6848A66F" w14:textId="77777777" w:rsidR="009A6B28" w:rsidRDefault="00000000">
            <w:pPr>
              <w:pStyle w:val="ListParagraph"/>
              <w:numPr>
                <w:ilvl w:val="0"/>
                <w:numId w:val="2"/>
              </w:numPr>
              <w:spacing w:after="20"/>
            </w:pPr>
            <w:r>
              <w:rPr>
                <w:i/>
                <w:iCs/>
                <w:color w:val="7A1F1F"/>
              </w:rPr>
              <w:t>Removing or hiding detail — that is abstraction.</w:t>
            </w:r>
          </w:p>
        </w:tc>
      </w:tr>
    </w:tbl>
    <w:p w14:paraId="361978C8" w14:textId="77777777" w:rsidR="009A6B28" w:rsidRDefault="009A6B28"/>
    <w:tbl>
      <w:tblPr>
        <w:tblW w:w="10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60"/>
        <w:gridCol w:w="1700"/>
      </w:tblGrid>
      <w:tr w:rsidR="009A6B28" w14:paraId="071D6ED8" w14:textId="77777777">
        <w:trPr>
          <w:cantSplit/>
        </w:trPr>
        <w:tc>
          <w:tcPr>
            <w:tcW w:w="876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DAE9F7"/>
            <w:tcMar>
              <w:top w:w="70" w:type="dxa"/>
              <w:left w:w="130" w:type="dxa"/>
              <w:bottom w:w="70" w:type="dxa"/>
              <w:right w:w="130" w:type="dxa"/>
            </w:tcMar>
            <w:vAlign w:val="center"/>
          </w:tcPr>
          <w:p w14:paraId="0A3B4F9A" w14:textId="77777777" w:rsidR="009A6B28" w:rsidRDefault="00000000">
            <w:r>
              <w:rPr>
                <w:b/>
                <w:bCs/>
              </w:rPr>
              <w:t>1(c) State one benefit and one drawback of using computational thinking to plan the app.</w:t>
            </w:r>
          </w:p>
        </w:tc>
        <w:tc>
          <w:tcPr>
            <w:tcW w:w="17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DAE9F7"/>
            <w:tcMar>
              <w:top w:w="70" w:type="dxa"/>
              <w:left w:w="130" w:type="dxa"/>
              <w:bottom w:w="70" w:type="dxa"/>
              <w:right w:w="130" w:type="dxa"/>
            </w:tcMar>
            <w:vAlign w:val="center"/>
          </w:tcPr>
          <w:p w14:paraId="20696A3D" w14:textId="77777777" w:rsidR="009A6B28" w:rsidRDefault="00000000">
            <w:pPr>
              <w:jc w:val="center"/>
            </w:pPr>
            <w:r>
              <w:rPr>
                <w:b/>
                <w:bCs/>
              </w:rPr>
              <w:t>[4]</w:t>
            </w:r>
          </w:p>
        </w:tc>
      </w:tr>
      <w:tr w:rsidR="009A6B28" w14:paraId="0E8153EA" w14:textId="77777777">
        <w:trPr>
          <w:cantSplit/>
        </w:trPr>
        <w:tc>
          <w:tcPr>
            <w:tcW w:w="10460" w:type="dxa"/>
            <w:gridSpan w:val="2"/>
            <w:tcBorders>
              <w:top w:val="single" w:sz="4" w:space="0" w:color="888888"/>
              <w:left w:val="single" w:sz="18" w:space="0" w:color="0070C0"/>
              <w:bottom w:val="single" w:sz="4" w:space="0" w:color="888888"/>
              <w:right w:val="single" w:sz="4" w:space="0" w:color="888888"/>
            </w:tcBorders>
            <w:shd w:val="clear" w:color="auto" w:fill="F2F5F9"/>
            <w:tcMar>
              <w:top w:w="70" w:type="dxa"/>
              <w:left w:w="130" w:type="dxa"/>
              <w:bottom w:w="70" w:type="dxa"/>
              <w:right w:w="130" w:type="dxa"/>
            </w:tcMar>
            <w:vAlign w:val="center"/>
          </w:tcPr>
          <w:p w14:paraId="0F320F4A" w14:textId="77777777" w:rsidR="009A6B28" w:rsidRDefault="00000000">
            <w:r>
              <w:rPr>
                <w:b/>
                <w:bCs/>
                <w:i/>
                <w:iCs/>
                <w:color w:val="2E5A86"/>
                <w:sz w:val="20"/>
                <w:szCs w:val="20"/>
              </w:rPr>
              <w:t xml:space="preserve">Marking: </w:t>
            </w:r>
            <w:r>
              <w:rPr>
                <w:i/>
                <w:iCs/>
                <w:color w:val="2E5A86"/>
              </w:rPr>
              <w:t>1 mark for a valid benefit + 1 for explaining it; 1 mark for a valid drawback + 1 for explaining it. Maximum 4.</w:t>
            </w:r>
          </w:p>
        </w:tc>
      </w:tr>
      <w:tr w:rsidR="009A6B28" w14:paraId="5A319B6E" w14:textId="77777777">
        <w:trPr>
          <w:cantSplit/>
        </w:trPr>
        <w:tc>
          <w:tcPr>
            <w:tcW w:w="876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70" w:type="dxa"/>
              <w:left w:w="130" w:type="dxa"/>
              <w:bottom w:w="70" w:type="dxa"/>
              <w:right w:w="130" w:type="dxa"/>
            </w:tcMar>
            <w:vAlign w:val="center"/>
          </w:tcPr>
          <w:p w14:paraId="127CFD2B" w14:textId="77777777" w:rsidR="009A6B28" w:rsidRDefault="00000000">
            <w:r>
              <w:t>Benefit: the large problem becomes manageable, so the team can plan each part clearly before coding.</w:t>
            </w:r>
          </w:p>
        </w:tc>
        <w:tc>
          <w:tcPr>
            <w:tcW w:w="17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70" w:type="dxa"/>
              <w:left w:w="130" w:type="dxa"/>
              <w:bottom w:w="70" w:type="dxa"/>
              <w:right w:w="130" w:type="dxa"/>
            </w:tcMar>
            <w:vAlign w:val="center"/>
          </w:tcPr>
          <w:p w14:paraId="60092732" w14:textId="77777777" w:rsidR="009A6B28" w:rsidRDefault="00000000">
            <w:pPr>
              <w:jc w:val="center"/>
            </w:pPr>
            <w:r>
              <w:rPr>
                <w:b/>
                <w:bCs/>
              </w:rPr>
              <w:t>(2)</w:t>
            </w:r>
          </w:p>
        </w:tc>
      </w:tr>
      <w:tr w:rsidR="009A6B28" w14:paraId="007EB4BA" w14:textId="77777777">
        <w:trPr>
          <w:cantSplit/>
        </w:trPr>
        <w:tc>
          <w:tcPr>
            <w:tcW w:w="876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70" w:type="dxa"/>
              <w:left w:w="130" w:type="dxa"/>
              <w:bottom w:w="70" w:type="dxa"/>
              <w:right w:w="130" w:type="dxa"/>
            </w:tcMar>
            <w:vAlign w:val="center"/>
          </w:tcPr>
          <w:p w14:paraId="3C24A4E0" w14:textId="77777777" w:rsidR="009A6B28" w:rsidRDefault="00000000">
            <w:r>
              <w:t>Drawback: the planning takes time up front, which can feel slow for a small or simple app.</w:t>
            </w:r>
          </w:p>
        </w:tc>
        <w:tc>
          <w:tcPr>
            <w:tcW w:w="17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70" w:type="dxa"/>
              <w:left w:w="130" w:type="dxa"/>
              <w:bottom w:w="70" w:type="dxa"/>
              <w:right w:w="130" w:type="dxa"/>
            </w:tcMar>
            <w:vAlign w:val="center"/>
          </w:tcPr>
          <w:p w14:paraId="64D5FE03" w14:textId="77777777" w:rsidR="009A6B28" w:rsidRDefault="00000000">
            <w:pPr>
              <w:jc w:val="center"/>
            </w:pPr>
            <w:r>
              <w:rPr>
                <w:b/>
                <w:bCs/>
              </w:rPr>
              <w:t>(2)</w:t>
            </w:r>
          </w:p>
        </w:tc>
      </w:tr>
      <w:tr w:rsidR="009A6B28" w14:paraId="489CAC9B" w14:textId="77777777">
        <w:trPr>
          <w:cantSplit/>
        </w:trPr>
        <w:tc>
          <w:tcPr>
            <w:tcW w:w="10460" w:type="dxa"/>
            <w:gridSpan w:val="2"/>
            <w:tcBorders>
              <w:top w:val="single" w:sz="4" w:space="0" w:color="888888"/>
              <w:left w:val="single" w:sz="18" w:space="0" w:color="C8960C"/>
              <w:bottom w:val="single" w:sz="4" w:space="0" w:color="888888"/>
              <w:right w:val="single" w:sz="4" w:space="0" w:color="888888"/>
            </w:tcBorders>
            <w:shd w:val="clear" w:color="auto" w:fill="FFF8E1"/>
            <w:tcMar>
              <w:top w:w="70" w:type="dxa"/>
              <w:left w:w="130" w:type="dxa"/>
              <w:bottom w:w="70" w:type="dxa"/>
              <w:right w:w="130" w:type="dxa"/>
            </w:tcMar>
          </w:tcPr>
          <w:p w14:paraId="17E7EBCF" w14:textId="77777777" w:rsidR="009A6B28" w:rsidRDefault="00000000">
            <w:pPr>
              <w:spacing w:after="30"/>
            </w:pPr>
            <w:r>
              <w:rPr>
                <w:b/>
                <w:bCs/>
                <w:i/>
                <w:iCs/>
                <w:color w:val="7A5C00"/>
              </w:rPr>
              <w:t>Accept also:</w:t>
            </w:r>
          </w:p>
          <w:p w14:paraId="374E2C6F" w14:textId="77777777" w:rsidR="009A6B28" w:rsidRDefault="00000000">
            <w:pPr>
              <w:pStyle w:val="ListParagraph"/>
              <w:numPr>
                <w:ilvl w:val="0"/>
                <w:numId w:val="2"/>
              </w:numPr>
              <w:spacing w:after="20"/>
            </w:pPr>
            <w:r>
              <w:rPr>
                <w:i/>
                <w:iCs/>
                <w:color w:val="7A5C00"/>
              </w:rPr>
              <w:t>Benefits: solutions can be reused; clear parts are easier to share across the team.</w:t>
            </w:r>
          </w:p>
          <w:p w14:paraId="4D0B6132" w14:textId="77777777" w:rsidR="009A6B28" w:rsidRDefault="00000000">
            <w:pPr>
              <w:pStyle w:val="ListParagraph"/>
              <w:numPr>
                <w:ilvl w:val="0"/>
                <w:numId w:val="2"/>
              </w:numPr>
              <w:spacing w:after="20"/>
            </w:pPr>
            <w:r>
              <w:rPr>
                <w:i/>
                <w:iCs/>
                <w:color w:val="7A5C00"/>
              </w:rPr>
              <w:t>Drawbacks: it can over-complicate a simple job; it relies on understanding the problem first.</w:t>
            </w:r>
          </w:p>
        </w:tc>
      </w:tr>
      <w:tr w:rsidR="009A6B28" w14:paraId="005E9C7F" w14:textId="77777777">
        <w:trPr>
          <w:cantSplit/>
        </w:trPr>
        <w:tc>
          <w:tcPr>
            <w:tcW w:w="10460" w:type="dxa"/>
            <w:gridSpan w:val="2"/>
            <w:tcBorders>
              <w:top w:val="single" w:sz="4" w:space="0" w:color="888888"/>
              <w:left w:val="single" w:sz="18" w:space="0" w:color="B23A3A"/>
              <w:bottom w:val="single" w:sz="4" w:space="0" w:color="888888"/>
              <w:right w:val="single" w:sz="4" w:space="0" w:color="888888"/>
            </w:tcBorders>
            <w:shd w:val="clear" w:color="auto" w:fill="FBEFEF"/>
            <w:tcMar>
              <w:top w:w="70" w:type="dxa"/>
              <w:left w:w="130" w:type="dxa"/>
              <w:bottom w:w="70" w:type="dxa"/>
              <w:right w:w="130" w:type="dxa"/>
            </w:tcMar>
          </w:tcPr>
          <w:p w14:paraId="3D96904C" w14:textId="77777777" w:rsidR="009A6B28" w:rsidRDefault="00000000">
            <w:pPr>
              <w:spacing w:after="30"/>
            </w:pPr>
            <w:r>
              <w:rPr>
                <w:b/>
                <w:bCs/>
                <w:i/>
                <w:iCs/>
                <w:color w:val="7A1F1F"/>
              </w:rPr>
              <w:lastRenderedPageBreak/>
              <w:t>Do not credit:</w:t>
            </w:r>
          </w:p>
          <w:p w14:paraId="542A9338" w14:textId="77777777" w:rsidR="009A6B28" w:rsidRDefault="00000000">
            <w:pPr>
              <w:pStyle w:val="ListParagraph"/>
              <w:numPr>
                <w:ilvl w:val="0"/>
                <w:numId w:val="2"/>
              </w:numPr>
              <w:spacing w:after="20"/>
            </w:pPr>
            <w:r>
              <w:rPr>
                <w:i/>
                <w:iCs/>
                <w:color w:val="7A1F1F"/>
              </w:rPr>
              <w:t>A benefit and drawback that are the same point reworded.</w:t>
            </w:r>
          </w:p>
        </w:tc>
      </w:tr>
      <w:tr w:rsidR="009A6B28" w14:paraId="3140F676" w14:textId="7777777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0460" w:type="dxa"/>
            <w:gridSpan w:val="2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0070C0"/>
            <w:tcMar>
              <w:top w:w="70" w:type="dxa"/>
              <w:left w:w="130" w:type="dxa"/>
              <w:bottom w:w="70" w:type="dxa"/>
              <w:right w:w="130" w:type="dxa"/>
            </w:tcMar>
          </w:tcPr>
          <w:p w14:paraId="48A65CBF" w14:textId="77777777" w:rsidR="009A6B28" w:rsidRDefault="00000000">
            <w:r>
              <w:rPr>
                <w:b/>
                <w:bCs/>
                <w:color w:val="FFFFFF"/>
                <w:sz w:val="24"/>
                <w:szCs w:val="24"/>
              </w:rPr>
              <w:t>Question 2 (5 marks)</w:t>
            </w:r>
          </w:p>
        </w:tc>
      </w:tr>
      <w:tr w:rsidR="009A6B28" w14:paraId="51B47F60" w14:textId="77777777">
        <w:trPr>
          <w:cantSplit/>
        </w:trPr>
        <w:tc>
          <w:tcPr>
            <w:tcW w:w="876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DAE9F7"/>
            <w:tcMar>
              <w:top w:w="70" w:type="dxa"/>
              <w:left w:w="130" w:type="dxa"/>
              <w:bottom w:w="70" w:type="dxa"/>
              <w:right w:w="130" w:type="dxa"/>
            </w:tcMar>
            <w:vAlign w:val="center"/>
          </w:tcPr>
          <w:p w14:paraId="243BE463" w14:textId="77777777" w:rsidR="009A6B28" w:rsidRDefault="00000000">
            <w:r>
              <w:rPr>
                <w:b/>
                <w:bCs/>
              </w:rPr>
              <w:t>2(a) Explain why the statement “computational thinking is just another way of saying writing code” is not correct.</w:t>
            </w:r>
          </w:p>
        </w:tc>
        <w:tc>
          <w:tcPr>
            <w:tcW w:w="17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DAE9F7"/>
            <w:tcMar>
              <w:top w:w="70" w:type="dxa"/>
              <w:left w:w="130" w:type="dxa"/>
              <w:bottom w:w="70" w:type="dxa"/>
              <w:right w:w="130" w:type="dxa"/>
            </w:tcMar>
            <w:vAlign w:val="center"/>
          </w:tcPr>
          <w:p w14:paraId="28B56370" w14:textId="77777777" w:rsidR="009A6B28" w:rsidRDefault="00000000">
            <w:pPr>
              <w:jc w:val="center"/>
            </w:pPr>
            <w:r>
              <w:rPr>
                <w:b/>
                <w:bCs/>
              </w:rPr>
              <w:t>[3]</w:t>
            </w:r>
          </w:p>
        </w:tc>
      </w:tr>
      <w:tr w:rsidR="009A6B28" w14:paraId="2AB46708" w14:textId="77777777">
        <w:trPr>
          <w:cantSplit/>
        </w:trPr>
        <w:tc>
          <w:tcPr>
            <w:tcW w:w="10460" w:type="dxa"/>
            <w:gridSpan w:val="2"/>
            <w:tcBorders>
              <w:top w:val="single" w:sz="4" w:space="0" w:color="888888"/>
              <w:left w:val="single" w:sz="18" w:space="0" w:color="0070C0"/>
              <w:bottom w:val="single" w:sz="4" w:space="0" w:color="888888"/>
              <w:right w:val="single" w:sz="4" w:space="0" w:color="888888"/>
            </w:tcBorders>
            <w:shd w:val="clear" w:color="auto" w:fill="F2F5F9"/>
            <w:tcMar>
              <w:top w:w="70" w:type="dxa"/>
              <w:left w:w="130" w:type="dxa"/>
              <w:bottom w:w="70" w:type="dxa"/>
              <w:right w:w="130" w:type="dxa"/>
            </w:tcMar>
            <w:vAlign w:val="center"/>
          </w:tcPr>
          <w:p w14:paraId="14876EDA" w14:textId="77777777" w:rsidR="009A6B28" w:rsidRDefault="00000000">
            <w:r>
              <w:rPr>
                <w:b/>
                <w:bCs/>
                <w:i/>
                <w:iCs/>
                <w:color w:val="2E5A86"/>
                <w:sz w:val="20"/>
                <w:szCs w:val="20"/>
              </w:rPr>
              <w:t xml:space="preserve">Marking: </w:t>
            </w:r>
            <w:r>
              <w:rPr>
                <w:i/>
                <w:iCs/>
                <w:color w:val="2E5A86"/>
              </w:rPr>
              <w:t>Up to 3 marks for explaining that computational thinking is about approaching and planning a problem, not the coding itself.</w:t>
            </w:r>
          </w:p>
        </w:tc>
      </w:tr>
      <w:tr w:rsidR="009A6B28" w14:paraId="0FA604A4" w14:textId="77777777">
        <w:trPr>
          <w:cantSplit/>
        </w:trPr>
        <w:tc>
          <w:tcPr>
            <w:tcW w:w="876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70" w:type="dxa"/>
              <w:left w:w="130" w:type="dxa"/>
              <w:bottom w:w="70" w:type="dxa"/>
              <w:right w:w="130" w:type="dxa"/>
            </w:tcMar>
            <w:vAlign w:val="center"/>
          </w:tcPr>
          <w:p w14:paraId="65E15C78" w14:textId="77777777" w:rsidR="009A6B28" w:rsidRDefault="00000000">
            <w:r>
              <w:t>Computational thinking is about how you approach and break a problem down.</w:t>
            </w:r>
          </w:p>
        </w:tc>
        <w:tc>
          <w:tcPr>
            <w:tcW w:w="17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70" w:type="dxa"/>
              <w:left w:w="130" w:type="dxa"/>
              <w:bottom w:w="70" w:type="dxa"/>
              <w:right w:w="130" w:type="dxa"/>
            </w:tcMar>
            <w:vAlign w:val="center"/>
          </w:tcPr>
          <w:p w14:paraId="11A55B23" w14:textId="77777777" w:rsidR="009A6B28" w:rsidRDefault="00000000">
            <w:pPr>
              <w:jc w:val="center"/>
            </w:pPr>
            <w:r>
              <w:rPr>
                <w:b/>
                <w:bCs/>
              </w:rPr>
              <w:t>(1)</w:t>
            </w:r>
          </w:p>
        </w:tc>
      </w:tr>
      <w:tr w:rsidR="009A6B28" w14:paraId="3472F2F6" w14:textId="77777777">
        <w:trPr>
          <w:cantSplit/>
        </w:trPr>
        <w:tc>
          <w:tcPr>
            <w:tcW w:w="876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70" w:type="dxa"/>
              <w:left w:w="130" w:type="dxa"/>
              <w:bottom w:w="70" w:type="dxa"/>
              <w:right w:w="130" w:type="dxa"/>
            </w:tcMar>
            <w:vAlign w:val="center"/>
          </w:tcPr>
          <w:p w14:paraId="6F0CC085" w14:textId="77777777" w:rsidR="009A6B28" w:rsidRDefault="00000000">
            <w:r>
              <w:t>It is the planning and thinking done before any code is written.</w:t>
            </w:r>
          </w:p>
        </w:tc>
        <w:tc>
          <w:tcPr>
            <w:tcW w:w="17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70" w:type="dxa"/>
              <w:left w:w="130" w:type="dxa"/>
              <w:bottom w:w="70" w:type="dxa"/>
              <w:right w:w="130" w:type="dxa"/>
            </w:tcMar>
            <w:vAlign w:val="center"/>
          </w:tcPr>
          <w:p w14:paraId="5742B051" w14:textId="77777777" w:rsidR="009A6B28" w:rsidRDefault="00000000">
            <w:pPr>
              <w:jc w:val="center"/>
            </w:pPr>
            <w:r>
              <w:rPr>
                <w:b/>
                <w:bCs/>
              </w:rPr>
              <w:t>(1)</w:t>
            </w:r>
          </w:p>
        </w:tc>
      </w:tr>
      <w:tr w:rsidR="009A6B28" w14:paraId="5F7CCD56" w14:textId="77777777">
        <w:trPr>
          <w:cantSplit/>
        </w:trPr>
        <w:tc>
          <w:tcPr>
            <w:tcW w:w="876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70" w:type="dxa"/>
              <w:left w:w="130" w:type="dxa"/>
              <w:bottom w:w="70" w:type="dxa"/>
              <w:right w:w="130" w:type="dxa"/>
            </w:tcMar>
            <w:vAlign w:val="center"/>
          </w:tcPr>
          <w:p w14:paraId="38DF918C" w14:textId="77777777" w:rsidR="009A6B28" w:rsidRDefault="00000000">
            <w:r>
              <w:t>Writing code is only one later step, and computational thinking can be used away from a computer too.</w:t>
            </w:r>
          </w:p>
        </w:tc>
        <w:tc>
          <w:tcPr>
            <w:tcW w:w="17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70" w:type="dxa"/>
              <w:left w:w="130" w:type="dxa"/>
              <w:bottom w:w="70" w:type="dxa"/>
              <w:right w:w="130" w:type="dxa"/>
            </w:tcMar>
            <w:vAlign w:val="center"/>
          </w:tcPr>
          <w:p w14:paraId="73DF7AF4" w14:textId="77777777" w:rsidR="009A6B28" w:rsidRDefault="00000000">
            <w:pPr>
              <w:jc w:val="center"/>
            </w:pPr>
            <w:r>
              <w:rPr>
                <w:b/>
                <w:bCs/>
              </w:rPr>
              <w:t>(1)</w:t>
            </w:r>
          </w:p>
        </w:tc>
      </w:tr>
      <w:tr w:rsidR="009A6B28" w14:paraId="2A507FA0" w14:textId="77777777">
        <w:trPr>
          <w:cantSplit/>
        </w:trPr>
        <w:tc>
          <w:tcPr>
            <w:tcW w:w="10460" w:type="dxa"/>
            <w:gridSpan w:val="2"/>
            <w:tcBorders>
              <w:top w:val="single" w:sz="4" w:space="0" w:color="888888"/>
              <w:left w:val="single" w:sz="18" w:space="0" w:color="C8960C"/>
              <w:bottom w:val="single" w:sz="4" w:space="0" w:color="888888"/>
              <w:right w:val="single" w:sz="4" w:space="0" w:color="888888"/>
            </w:tcBorders>
            <w:shd w:val="clear" w:color="auto" w:fill="FFF8E1"/>
            <w:tcMar>
              <w:top w:w="70" w:type="dxa"/>
              <w:left w:w="130" w:type="dxa"/>
              <w:bottom w:w="70" w:type="dxa"/>
              <w:right w:w="130" w:type="dxa"/>
            </w:tcMar>
          </w:tcPr>
          <w:p w14:paraId="51DE4F42" w14:textId="77777777" w:rsidR="009A6B28" w:rsidRDefault="00000000">
            <w:pPr>
              <w:spacing w:after="30"/>
            </w:pPr>
            <w:r>
              <w:rPr>
                <w:b/>
                <w:bCs/>
                <w:i/>
                <w:iCs/>
                <w:color w:val="7A5C00"/>
              </w:rPr>
              <w:t>Accept also:</w:t>
            </w:r>
          </w:p>
          <w:p w14:paraId="589369D9" w14:textId="77777777" w:rsidR="009A6B28" w:rsidRDefault="00000000">
            <w:pPr>
              <w:pStyle w:val="ListParagraph"/>
              <w:numPr>
                <w:ilvl w:val="0"/>
                <w:numId w:val="2"/>
              </w:numPr>
              <w:spacing w:after="20"/>
            </w:pPr>
            <w:r>
              <w:rPr>
                <w:i/>
                <w:iCs/>
                <w:color w:val="7A5C00"/>
              </w:rPr>
              <w:t>Reference to the four components as the substance of computational thinking.</w:t>
            </w:r>
          </w:p>
        </w:tc>
      </w:tr>
      <w:tr w:rsidR="009A6B28" w14:paraId="75494315" w14:textId="77777777">
        <w:trPr>
          <w:cantSplit/>
        </w:trPr>
        <w:tc>
          <w:tcPr>
            <w:tcW w:w="10460" w:type="dxa"/>
            <w:gridSpan w:val="2"/>
            <w:tcBorders>
              <w:top w:val="single" w:sz="4" w:space="0" w:color="888888"/>
              <w:left w:val="single" w:sz="18" w:space="0" w:color="B23A3A"/>
              <w:bottom w:val="single" w:sz="4" w:space="0" w:color="888888"/>
              <w:right w:val="single" w:sz="4" w:space="0" w:color="888888"/>
            </w:tcBorders>
            <w:shd w:val="clear" w:color="auto" w:fill="FBEFEF"/>
            <w:tcMar>
              <w:top w:w="70" w:type="dxa"/>
              <w:left w:w="130" w:type="dxa"/>
              <w:bottom w:w="70" w:type="dxa"/>
              <w:right w:w="130" w:type="dxa"/>
            </w:tcMar>
          </w:tcPr>
          <w:p w14:paraId="6D3CF623" w14:textId="77777777" w:rsidR="009A6B28" w:rsidRDefault="00000000">
            <w:pPr>
              <w:spacing w:after="30"/>
            </w:pPr>
            <w:r>
              <w:rPr>
                <w:b/>
                <w:bCs/>
                <w:i/>
                <w:iCs/>
                <w:color w:val="7A1F1F"/>
              </w:rPr>
              <w:t>Do not credit:</w:t>
            </w:r>
          </w:p>
          <w:p w14:paraId="56BB94D3" w14:textId="77777777" w:rsidR="009A6B28" w:rsidRDefault="00000000">
            <w:pPr>
              <w:pStyle w:val="ListParagraph"/>
              <w:numPr>
                <w:ilvl w:val="0"/>
                <w:numId w:val="2"/>
              </w:numPr>
              <w:spacing w:after="20"/>
            </w:pPr>
            <w:r>
              <w:rPr>
                <w:i/>
                <w:iCs/>
                <w:color w:val="7A1F1F"/>
              </w:rPr>
              <w:t>Answers that agree with the statement.</w:t>
            </w:r>
          </w:p>
        </w:tc>
      </w:tr>
    </w:tbl>
    <w:p w14:paraId="169F7411" w14:textId="77777777" w:rsidR="009A6B28" w:rsidRDefault="009A6B28"/>
    <w:tbl>
      <w:tblPr>
        <w:tblW w:w="10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60"/>
        <w:gridCol w:w="1700"/>
      </w:tblGrid>
      <w:tr w:rsidR="009A6B28" w14:paraId="1B0C3FF8" w14:textId="77777777">
        <w:trPr>
          <w:cantSplit/>
        </w:trPr>
        <w:tc>
          <w:tcPr>
            <w:tcW w:w="876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DAE9F7"/>
            <w:tcMar>
              <w:top w:w="70" w:type="dxa"/>
              <w:left w:w="130" w:type="dxa"/>
              <w:bottom w:w="70" w:type="dxa"/>
              <w:right w:w="130" w:type="dxa"/>
            </w:tcMar>
            <w:vAlign w:val="center"/>
          </w:tcPr>
          <w:p w14:paraId="7E347854" w14:textId="77777777" w:rsidR="009A6B28" w:rsidRDefault="00000000">
            <w:r>
              <w:rPr>
                <w:b/>
                <w:bCs/>
              </w:rPr>
              <w:t>2(b) Give one type of problem where computational thinking is well worth the effort, and one where it may not be.</w:t>
            </w:r>
          </w:p>
        </w:tc>
        <w:tc>
          <w:tcPr>
            <w:tcW w:w="17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DAE9F7"/>
            <w:tcMar>
              <w:top w:w="70" w:type="dxa"/>
              <w:left w:w="130" w:type="dxa"/>
              <w:bottom w:w="70" w:type="dxa"/>
              <w:right w:w="130" w:type="dxa"/>
            </w:tcMar>
            <w:vAlign w:val="center"/>
          </w:tcPr>
          <w:p w14:paraId="3DF92BA5" w14:textId="77777777" w:rsidR="009A6B28" w:rsidRDefault="00000000">
            <w:pPr>
              <w:jc w:val="center"/>
            </w:pPr>
            <w:r>
              <w:rPr>
                <w:b/>
                <w:bCs/>
              </w:rPr>
              <w:t>[2]</w:t>
            </w:r>
          </w:p>
        </w:tc>
      </w:tr>
      <w:tr w:rsidR="009A6B28" w14:paraId="2F86E0AA" w14:textId="77777777">
        <w:trPr>
          <w:cantSplit/>
        </w:trPr>
        <w:tc>
          <w:tcPr>
            <w:tcW w:w="10460" w:type="dxa"/>
            <w:gridSpan w:val="2"/>
            <w:tcBorders>
              <w:top w:val="single" w:sz="4" w:space="0" w:color="888888"/>
              <w:left w:val="single" w:sz="18" w:space="0" w:color="0070C0"/>
              <w:bottom w:val="single" w:sz="4" w:space="0" w:color="888888"/>
              <w:right w:val="single" w:sz="4" w:space="0" w:color="888888"/>
            </w:tcBorders>
            <w:shd w:val="clear" w:color="auto" w:fill="F2F5F9"/>
            <w:tcMar>
              <w:top w:w="70" w:type="dxa"/>
              <w:left w:w="130" w:type="dxa"/>
              <w:bottom w:w="70" w:type="dxa"/>
              <w:right w:w="130" w:type="dxa"/>
            </w:tcMar>
            <w:vAlign w:val="center"/>
          </w:tcPr>
          <w:p w14:paraId="3FFEDD91" w14:textId="77777777" w:rsidR="009A6B28" w:rsidRDefault="00000000">
            <w:r>
              <w:rPr>
                <w:b/>
                <w:bCs/>
                <w:i/>
                <w:iCs/>
                <w:color w:val="2E5A86"/>
                <w:sz w:val="20"/>
                <w:szCs w:val="20"/>
              </w:rPr>
              <w:t xml:space="preserve">Marking: </w:t>
            </w:r>
            <w:r>
              <w:rPr>
                <w:i/>
                <w:iCs/>
                <w:color w:val="2E5A86"/>
              </w:rPr>
              <w:t>1 mark for each suitable example.</w:t>
            </w:r>
          </w:p>
        </w:tc>
      </w:tr>
      <w:tr w:rsidR="009A6B28" w14:paraId="6F2FD7B1" w14:textId="77777777">
        <w:trPr>
          <w:cantSplit/>
        </w:trPr>
        <w:tc>
          <w:tcPr>
            <w:tcW w:w="876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70" w:type="dxa"/>
              <w:left w:w="130" w:type="dxa"/>
              <w:bottom w:w="70" w:type="dxa"/>
              <w:right w:w="130" w:type="dxa"/>
            </w:tcMar>
            <w:vAlign w:val="center"/>
          </w:tcPr>
          <w:p w14:paraId="64659D31" w14:textId="77777777" w:rsidR="009A6B28" w:rsidRDefault="00000000">
            <w:r>
              <w:t>Worth it: a large, complex or repeated problem, or one a computer will carry out.</w:t>
            </w:r>
          </w:p>
        </w:tc>
        <w:tc>
          <w:tcPr>
            <w:tcW w:w="17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70" w:type="dxa"/>
              <w:left w:w="130" w:type="dxa"/>
              <w:bottom w:w="70" w:type="dxa"/>
              <w:right w:w="130" w:type="dxa"/>
            </w:tcMar>
            <w:vAlign w:val="center"/>
          </w:tcPr>
          <w:p w14:paraId="294C4CED" w14:textId="77777777" w:rsidR="009A6B28" w:rsidRDefault="00000000">
            <w:pPr>
              <w:jc w:val="center"/>
            </w:pPr>
            <w:r>
              <w:rPr>
                <w:b/>
                <w:bCs/>
              </w:rPr>
              <w:t>(1)</w:t>
            </w:r>
          </w:p>
        </w:tc>
      </w:tr>
      <w:tr w:rsidR="009A6B28" w14:paraId="5AF8507E" w14:textId="77777777">
        <w:trPr>
          <w:cantSplit/>
        </w:trPr>
        <w:tc>
          <w:tcPr>
            <w:tcW w:w="876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70" w:type="dxa"/>
              <w:left w:w="130" w:type="dxa"/>
              <w:bottom w:w="70" w:type="dxa"/>
              <w:right w:w="130" w:type="dxa"/>
            </w:tcMar>
            <w:vAlign w:val="center"/>
          </w:tcPr>
          <w:p w14:paraId="197298F7" w14:textId="77777777" w:rsidR="009A6B28" w:rsidRDefault="00000000">
            <w:r>
              <w:t>May not be: a one-off, trivial task where planning costs more than it saves.</w:t>
            </w:r>
          </w:p>
        </w:tc>
        <w:tc>
          <w:tcPr>
            <w:tcW w:w="17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70" w:type="dxa"/>
              <w:left w:w="130" w:type="dxa"/>
              <w:bottom w:w="70" w:type="dxa"/>
              <w:right w:w="130" w:type="dxa"/>
            </w:tcMar>
            <w:vAlign w:val="center"/>
          </w:tcPr>
          <w:p w14:paraId="5C62F25A" w14:textId="77777777" w:rsidR="009A6B28" w:rsidRDefault="00000000">
            <w:pPr>
              <w:jc w:val="center"/>
            </w:pPr>
            <w:r>
              <w:rPr>
                <w:b/>
                <w:bCs/>
              </w:rPr>
              <w:t>(1)</w:t>
            </w:r>
          </w:p>
        </w:tc>
      </w:tr>
    </w:tbl>
    <w:p w14:paraId="0334DDE6" w14:textId="77777777" w:rsidR="009A6B28" w:rsidRDefault="00000000">
      <w:pPr>
        <w:spacing w:before="360"/>
        <w:jc w:val="right"/>
      </w:pPr>
      <w:r>
        <w:rPr>
          <w:b/>
          <w:bCs/>
          <w:sz w:val="24"/>
          <w:szCs w:val="24"/>
        </w:rPr>
        <w:t>[Total 15 marks]</w:t>
      </w:r>
    </w:p>
    <w:sectPr w:rsidR="009A6B28">
      <w:headerReference w:type="default" r:id="rId9"/>
      <w:footerReference w:type="default" r:id="rId10"/>
      <w:pgSz w:w="11906" w:h="16838"/>
      <w:pgMar w:top="720" w:right="720" w:bottom="720" w:left="72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E3EE57" w14:textId="77777777" w:rsidR="00632104" w:rsidRDefault="00632104">
      <w:r>
        <w:separator/>
      </w:r>
    </w:p>
  </w:endnote>
  <w:endnote w:type="continuationSeparator" w:id="0">
    <w:p w14:paraId="1B5C7930" w14:textId="77777777" w:rsidR="00632104" w:rsidRDefault="00632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A8926" w14:textId="77777777" w:rsidR="009A6B28" w:rsidRDefault="00000000">
    <w:pPr>
      <w:jc w:val="center"/>
    </w:pPr>
    <w:r>
      <w:rPr>
        <w:color w:val="666666"/>
        <w:sz w:val="18"/>
        <w:szCs w:val="18"/>
      </w:rPr>
      <w:t xml:space="preserve">Page </w:t>
    </w:r>
    <w:r>
      <w:rPr>
        <w:color w:val="666666"/>
        <w:sz w:val="18"/>
        <w:szCs w:val="18"/>
      </w:rPr>
      <w:fldChar w:fldCharType="begin"/>
    </w:r>
    <w:r>
      <w:rPr>
        <w:color w:val="666666"/>
        <w:sz w:val="18"/>
        <w:szCs w:val="18"/>
      </w:rPr>
      <w:instrText>PAGE</w:instrText>
    </w:r>
    <w:r>
      <w:rPr>
        <w:color w:val="666666"/>
        <w:sz w:val="18"/>
        <w:szCs w:val="18"/>
      </w:rPr>
      <w:fldChar w:fldCharType="separate"/>
    </w:r>
    <w:r>
      <w:rPr>
        <w:noProof/>
        <w:color w:val="666666"/>
        <w:sz w:val="18"/>
        <w:szCs w:val="18"/>
      </w:rPr>
      <w:t>1</w:t>
    </w:r>
    <w:r>
      <w:rPr>
        <w:color w:val="666666"/>
        <w:sz w:val="18"/>
        <w:szCs w:val="18"/>
      </w:rPr>
      <w:fldChar w:fldCharType="end"/>
    </w:r>
    <w:r>
      <w:rPr>
        <w:color w:val="666666"/>
        <w:sz w:val="18"/>
        <w:szCs w:val="18"/>
      </w:rPr>
      <w:t xml:space="preserve"> of </w:t>
    </w:r>
    <w:r>
      <w:rPr>
        <w:color w:val="666666"/>
        <w:sz w:val="18"/>
        <w:szCs w:val="18"/>
      </w:rPr>
      <w:fldChar w:fldCharType="begin"/>
    </w:r>
    <w:r>
      <w:rPr>
        <w:color w:val="666666"/>
        <w:sz w:val="18"/>
        <w:szCs w:val="18"/>
      </w:rPr>
      <w:instrText>NUMPAGES</w:instrText>
    </w:r>
    <w:r>
      <w:rPr>
        <w:color w:val="666666"/>
        <w:sz w:val="18"/>
        <w:szCs w:val="18"/>
      </w:rPr>
      <w:fldChar w:fldCharType="separate"/>
    </w:r>
    <w:r>
      <w:rPr>
        <w:noProof/>
        <w:color w:val="666666"/>
        <w:sz w:val="18"/>
        <w:szCs w:val="18"/>
      </w:rPr>
      <w:t>2</w:t>
    </w:r>
    <w:r>
      <w:rPr>
        <w:color w:val="666666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D8300C" w14:textId="77777777" w:rsidR="00632104" w:rsidRDefault="00632104">
      <w:r>
        <w:separator/>
      </w:r>
    </w:p>
  </w:footnote>
  <w:footnote w:type="continuationSeparator" w:id="0">
    <w:p w14:paraId="5AFC16EA" w14:textId="77777777" w:rsidR="00632104" w:rsidRDefault="006321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77712" w14:textId="77777777" w:rsidR="00874326" w:rsidRDefault="0087432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996AF5"/>
    <w:multiLevelType w:val="hybridMultilevel"/>
    <w:tmpl w:val="2ABE1634"/>
    <w:lvl w:ilvl="0" w:tplc="28281204">
      <w:start w:val="1"/>
      <w:numFmt w:val="bullet"/>
      <w:lvlText w:val="●"/>
      <w:lvlJc w:val="left"/>
      <w:pPr>
        <w:ind w:left="720" w:hanging="360"/>
      </w:pPr>
    </w:lvl>
    <w:lvl w:ilvl="1" w:tplc="A9EE9DEE">
      <w:start w:val="1"/>
      <w:numFmt w:val="bullet"/>
      <w:lvlText w:val="○"/>
      <w:lvlJc w:val="left"/>
      <w:pPr>
        <w:ind w:left="1440" w:hanging="360"/>
      </w:pPr>
    </w:lvl>
    <w:lvl w:ilvl="2" w:tplc="333858E6">
      <w:start w:val="1"/>
      <w:numFmt w:val="bullet"/>
      <w:lvlText w:val="■"/>
      <w:lvlJc w:val="left"/>
      <w:pPr>
        <w:ind w:left="2160" w:hanging="360"/>
      </w:pPr>
    </w:lvl>
    <w:lvl w:ilvl="3" w:tplc="E38629D4">
      <w:start w:val="1"/>
      <w:numFmt w:val="bullet"/>
      <w:lvlText w:val="●"/>
      <w:lvlJc w:val="left"/>
      <w:pPr>
        <w:ind w:left="2880" w:hanging="360"/>
      </w:pPr>
    </w:lvl>
    <w:lvl w:ilvl="4" w:tplc="2C16D25C">
      <w:start w:val="1"/>
      <w:numFmt w:val="bullet"/>
      <w:lvlText w:val="○"/>
      <w:lvlJc w:val="left"/>
      <w:pPr>
        <w:ind w:left="3600" w:hanging="360"/>
      </w:pPr>
    </w:lvl>
    <w:lvl w:ilvl="5" w:tplc="C73CE47E">
      <w:start w:val="1"/>
      <w:numFmt w:val="bullet"/>
      <w:lvlText w:val="■"/>
      <w:lvlJc w:val="left"/>
      <w:pPr>
        <w:ind w:left="4320" w:hanging="360"/>
      </w:pPr>
    </w:lvl>
    <w:lvl w:ilvl="6" w:tplc="659A4096">
      <w:start w:val="1"/>
      <w:numFmt w:val="bullet"/>
      <w:lvlText w:val="●"/>
      <w:lvlJc w:val="left"/>
      <w:pPr>
        <w:ind w:left="5040" w:hanging="360"/>
      </w:pPr>
    </w:lvl>
    <w:lvl w:ilvl="7" w:tplc="08D2BB7A">
      <w:start w:val="1"/>
      <w:numFmt w:val="bullet"/>
      <w:lvlText w:val="●"/>
      <w:lvlJc w:val="left"/>
      <w:pPr>
        <w:ind w:left="5760" w:hanging="360"/>
      </w:pPr>
    </w:lvl>
    <w:lvl w:ilvl="8" w:tplc="E78CA740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64DB74C5"/>
    <w:multiLevelType w:val="hybridMultilevel"/>
    <w:tmpl w:val="046A9FE4"/>
    <w:lvl w:ilvl="0" w:tplc="7D024068">
      <w:start w:val="1"/>
      <w:numFmt w:val="bullet"/>
      <w:lvlText w:val="•"/>
      <w:lvlJc w:val="left"/>
      <w:pPr>
        <w:ind w:left="360" w:hanging="220"/>
      </w:pPr>
    </w:lvl>
    <w:lvl w:ilvl="1" w:tplc="4F1EBC62">
      <w:numFmt w:val="decimal"/>
      <w:lvlText w:val=""/>
      <w:lvlJc w:val="left"/>
    </w:lvl>
    <w:lvl w:ilvl="2" w:tplc="A886932E">
      <w:numFmt w:val="decimal"/>
      <w:lvlText w:val=""/>
      <w:lvlJc w:val="left"/>
    </w:lvl>
    <w:lvl w:ilvl="3" w:tplc="CEA0834E">
      <w:numFmt w:val="decimal"/>
      <w:lvlText w:val=""/>
      <w:lvlJc w:val="left"/>
    </w:lvl>
    <w:lvl w:ilvl="4" w:tplc="CEFE8D00">
      <w:numFmt w:val="decimal"/>
      <w:lvlText w:val=""/>
      <w:lvlJc w:val="left"/>
    </w:lvl>
    <w:lvl w:ilvl="5" w:tplc="DB9480B8">
      <w:numFmt w:val="decimal"/>
      <w:lvlText w:val=""/>
      <w:lvlJc w:val="left"/>
    </w:lvl>
    <w:lvl w:ilvl="6" w:tplc="80B4EFAA">
      <w:numFmt w:val="decimal"/>
      <w:lvlText w:val=""/>
      <w:lvlJc w:val="left"/>
    </w:lvl>
    <w:lvl w:ilvl="7" w:tplc="E208E488">
      <w:numFmt w:val="decimal"/>
      <w:lvlText w:val=""/>
      <w:lvlJc w:val="left"/>
    </w:lvl>
    <w:lvl w:ilvl="8" w:tplc="E5D0E050">
      <w:numFmt w:val="decimal"/>
      <w:lvlText w:val=""/>
      <w:lvlJc w:val="left"/>
    </w:lvl>
  </w:abstractNum>
  <w:num w:numId="1" w16cid:durableId="444471441">
    <w:abstractNumId w:val="0"/>
    <w:lvlOverride w:ilvl="0">
      <w:startOverride w:val="1"/>
    </w:lvlOverride>
  </w:num>
  <w:num w:numId="2" w16cid:durableId="712340670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4326"/>
    <w:rsid w:val="00092C28"/>
    <w:rsid w:val="00177266"/>
    <w:rsid w:val="001D3DC0"/>
    <w:rsid w:val="00511C87"/>
    <w:rsid w:val="00617CEF"/>
    <w:rsid w:val="00632104"/>
    <w:rsid w:val="00874326"/>
    <w:rsid w:val="008E3D96"/>
    <w:rsid w:val="009A6B28"/>
    <w:rsid w:val="00B3466B"/>
    <w:rsid w:val="00C6792D"/>
    <w:rsid w:val="00DA02D2"/>
    <w:rsid w:val="00DE5882"/>
    <w:rsid w:val="00F47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34FC93"/>
  <w15:docId w15:val="{EAD30AD6-8A5F-44E8-957C-398E56AEB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472</Words>
  <Characters>2694</Characters>
  <Application>Microsoft Office Word</Application>
  <DocSecurity>0</DocSecurity>
  <Lines>22</Lines>
  <Paragraphs>6</Paragraphs>
  <ScaleCrop>false</ScaleCrop>
  <Company/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Daniel Richardson</cp:lastModifiedBy>
  <cp:revision>5</cp:revision>
  <dcterms:created xsi:type="dcterms:W3CDTF">2026-05-28T09:07:00Z</dcterms:created>
  <dcterms:modified xsi:type="dcterms:W3CDTF">2026-06-30T15:15:00Z</dcterms:modified>
</cp:coreProperties>
</file>